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101" w:type="dxa"/>
        <w:jc w:val="center"/>
        <w:tblBorders>
          <w:top w:val="none" w:color="auto" w:sz="0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90" w:type="dxa"/>
          <w:left w:w="120" w:type="dxa"/>
          <w:bottom w:w="90" w:type="dxa"/>
          <w:right w:w="120" w:type="dxa"/>
        </w:tblCellMar>
      </w:tblPr>
      <w:tblGrid>
        <w:gridCol w:w="1682"/>
        <w:gridCol w:w="2905"/>
        <w:gridCol w:w="3093"/>
        <w:gridCol w:w="1416"/>
        <w:gridCol w:w="1005"/>
      </w:tblGrid>
      <w:tr w14:paraId="60682B67">
        <w:tblPrEx>
          <w:tblBorders>
            <w:top w:val="none" w:color="auto" w:sz="0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101" w:type="dxa"/>
            <w:gridSpan w:val="5"/>
            <w:tcBorders>
              <w:bottom w:val="single" w:color="auto" w:sz="12" w:space="0"/>
            </w:tcBorders>
            <w:vAlign w:val="center"/>
          </w:tcPr>
          <w:p w14:paraId="27897C09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</w:rPr>
              <w:t>Supplementary Table 1. Agreement between radiation field and fracture location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</w:r>
          </w:p>
        </w:tc>
      </w:tr>
      <w:tr w14:paraId="7082895B">
        <w:tblPrEx>
          <w:tblBorders>
            <w:top w:val="none" w:color="auto" w:sz="0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682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755E8DC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Segment</w:t>
            </w:r>
          </w:p>
        </w:tc>
        <w:tc>
          <w:tcPr>
            <w:tcW w:w="290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5D2F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Radiation field involved</w:t>
            </w:r>
          </w:p>
        </w:tc>
        <w:tc>
          <w:tcPr>
            <w:tcW w:w="3093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A31F1D2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Thoracic fracture involved</w:t>
            </w:r>
          </w:p>
        </w:tc>
        <w:tc>
          <w:tcPr>
            <w:tcW w:w="1416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916D684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Kappa value</w:t>
            </w:r>
          </w:p>
        </w:tc>
        <w:tc>
          <w:tcPr>
            <w:tcW w:w="100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C303588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P value</w:t>
            </w:r>
          </w:p>
        </w:tc>
      </w:tr>
      <w:tr w14:paraId="180F8CCD">
        <w:tblPrEx>
          <w:tblBorders>
            <w:top w:val="none" w:color="auto" w:sz="0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682" w:type="dxa"/>
            <w:tcBorders>
              <w:tl2br w:val="nil"/>
              <w:tr2bl w:val="nil"/>
            </w:tcBorders>
            <w:vAlign w:val="center"/>
          </w:tcPr>
          <w:p w14:paraId="5ADC57ED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Upper thoracic</w:t>
            </w:r>
          </w:p>
        </w:tc>
        <w:tc>
          <w:tcPr>
            <w:tcW w:w="2905" w:type="dxa"/>
            <w:tcBorders>
              <w:tl2br w:val="nil"/>
              <w:tr2bl w:val="nil"/>
            </w:tcBorders>
            <w:vAlign w:val="center"/>
          </w:tcPr>
          <w:p w14:paraId="52260047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13 </w:t>
            </w:r>
          </w:p>
        </w:tc>
        <w:tc>
          <w:tcPr>
            <w:tcW w:w="3093" w:type="dxa"/>
            <w:tcBorders>
              <w:tl2br w:val="nil"/>
              <w:tr2bl w:val="nil"/>
            </w:tcBorders>
            <w:vAlign w:val="center"/>
          </w:tcPr>
          <w:p w14:paraId="16E59430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6 </w:t>
            </w: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14:paraId="0072BA9A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0.588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C6D4C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&lt;0.001</w:t>
            </w:r>
          </w:p>
        </w:tc>
      </w:tr>
      <w:tr w14:paraId="3EC84490">
        <w:tblPrEx>
          <w:tblBorders>
            <w:top w:val="none" w:color="auto" w:sz="0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682" w:type="dxa"/>
            <w:tcBorders>
              <w:tl2br w:val="nil"/>
              <w:tr2bl w:val="nil"/>
            </w:tcBorders>
            <w:vAlign w:val="center"/>
          </w:tcPr>
          <w:p w14:paraId="279953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Middle thoracic</w:t>
            </w:r>
          </w:p>
        </w:tc>
        <w:tc>
          <w:tcPr>
            <w:tcW w:w="2905" w:type="dxa"/>
            <w:tcBorders>
              <w:tl2br w:val="nil"/>
              <w:tr2bl w:val="nil"/>
            </w:tcBorders>
            <w:vAlign w:val="center"/>
          </w:tcPr>
          <w:p w14:paraId="4024B309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57 </w:t>
            </w:r>
          </w:p>
        </w:tc>
        <w:tc>
          <w:tcPr>
            <w:tcW w:w="3093" w:type="dxa"/>
            <w:tcBorders>
              <w:tl2br w:val="nil"/>
              <w:tr2bl w:val="nil"/>
            </w:tcBorders>
            <w:vAlign w:val="center"/>
          </w:tcPr>
          <w:p w14:paraId="5AF524D4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46 </w:t>
            </w: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14:paraId="0992BA93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0.685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5D0C5FE9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&lt;0.001</w:t>
            </w:r>
          </w:p>
        </w:tc>
      </w:tr>
      <w:tr w14:paraId="28FFE739">
        <w:tblPrEx>
          <w:tblBorders>
            <w:top w:val="none" w:color="auto" w:sz="0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682" w:type="dxa"/>
            <w:tcBorders>
              <w:tl2br w:val="nil"/>
              <w:tr2bl w:val="nil"/>
            </w:tcBorders>
            <w:vAlign w:val="center"/>
          </w:tcPr>
          <w:p w14:paraId="23FB16C4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Lower thoracic</w:t>
            </w:r>
          </w:p>
        </w:tc>
        <w:tc>
          <w:tcPr>
            <w:tcW w:w="2905" w:type="dxa"/>
            <w:tcBorders>
              <w:tl2br w:val="nil"/>
              <w:tr2bl w:val="nil"/>
            </w:tcBorders>
            <w:vAlign w:val="center"/>
          </w:tcPr>
          <w:p w14:paraId="72A5177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30 </w:t>
            </w:r>
          </w:p>
        </w:tc>
        <w:tc>
          <w:tcPr>
            <w:tcW w:w="3093" w:type="dxa"/>
            <w:tcBorders>
              <w:tl2br w:val="nil"/>
              <w:tr2bl w:val="nil"/>
            </w:tcBorders>
            <w:vAlign w:val="center"/>
          </w:tcPr>
          <w:p w14:paraId="4283491D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27 </w:t>
            </w: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14:paraId="4198BF9E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0.861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1BFBE153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&lt;0.001</w:t>
            </w:r>
          </w:p>
        </w:tc>
      </w:tr>
      <w:tr w14:paraId="656625C3">
        <w:tblPrEx>
          <w:tblBorders>
            <w:top w:val="none" w:color="auto" w:sz="0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682" w:type="dxa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 w14:paraId="7C5646C7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Overall</w:t>
            </w:r>
          </w:p>
        </w:tc>
        <w:tc>
          <w:tcPr>
            <w:tcW w:w="2905" w:type="dxa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 w14:paraId="14E62EAA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77 </w:t>
            </w:r>
          </w:p>
        </w:tc>
        <w:tc>
          <w:tcPr>
            <w:tcW w:w="3093" w:type="dxa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 w14:paraId="5D98F8A9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77 </w:t>
            </w:r>
          </w:p>
        </w:tc>
        <w:tc>
          <w:tcPr>
            <w:tcW w:w="1416" w:type="dxa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 w14:paraId="5088617B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0.792</w:t>
            </w:r>
          </w:p>
        </w:tc>
        <w:tc>
          <w:tcPr>
            <w:tcW w:w="1005" w:type="dxa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 w14:paraId="1B108FB7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&lt;0.001</w:t>
            </w:r>
          </w:p>
        </w:tc>
      </w:tr>
      <w:tr w14:paraId="67BCA547">
        <w:tblPrEx>
          <w:tblBorders>
            <w:top w:val="none" w:color="auto" w:sz="0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101" w:type="dxa"/>
            <w:gridSpan w:val="5"/>
            <w:tcBorders>
              <w:top w:val="single" w:color="auto" w:sz="12" w:space="0"/>
              <w:bottom w:val="nil"/>
            </w:tcBorders>
            <w:vAlign w:val="center"/>
          </w:tcPr>
          <w:p w14:paraId="1AC39238">
            <w:pPr>
              <w:keepLines/>
              <w:snapToGrid w:val="0"/>
              <w:spacing w:before="60" w:after="12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Notes: </w:t>
            </w:r>
            <w:r>
              <w:rPr>
                <w:rFonts w:ascii="Times New Roman" w:hAnsi="Times New Roman" w:cs="Times New Roman"/>
                <w:bCs/>
                <w:sz w:val="24"/>
              </w:rPr>
              <w:t>Radiation field and fracture segments were analyzed using a multi-label approach. Because some patients had cross-segment irradiation or fractures involving multiple segments, segment counts were not mutually exclusive. Coverage match was defined as the fracture segment being included within the radiation field segments.</w:t>
            </w:r>
          </w:p>
          <w:p w14:paraId="5BCD22CB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</w:tbl>
    <w:p w14:paraId="072E75BA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10367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90" w:type="dxa"/>
          <w:left w:w="120" w:type="dxa"/>
          <w:bottom w:w="90" w:type="dxa"/>
          <w:right w:w="120" w:type="dxa"/>
        </w:tblCellMar>
      </w:tblPr>
      <w:tblGrid>
        <w:gridCol w:w="1839"/>
        <w:gridCol w:w="1954"/>
        <w:gridCol w:w="1358"/>
        <w:gridCol w:w="1340"/>
        <w:gridCol w:w="1240"/>
        <w:gridCol w:w="908"/>
        <w:gridCol w:w="908"/>
        <w:gridCol w:w="820"/>
      </w:tblGrid>
      <w:tr w14:paraId="7B07E23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367" w:type="dxa"/>
            <w:gridSpan w:val="8"/>
            <w:tcBorders>
              <w:top w:val="nil"/>
              <w:bottom w:val="single" w:color="auto" w:sz="12" w:space="0"/>
            </w:tcBorders>
            <w:vAlign w:val="center"/>
          </w:tcPr>
          <w:p w14:paraId="44D358F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Supplementary Table 2. Classification metrics at 24 months</w:t>
            </w:r>
            <w:r>
              <w:rPr>
                <w:rFonts w:ascii="Times New Roman" w:hAnsi="Times New Roman" w:cs="Times New Roman"/>
                <w:bCs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 w14:paraId="79851ED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83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87DB7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Dataset</w:t>
            </w:r>
          </w:p>
        </w:tc>
        <w:tc>
          <w:tcPr>
            <w:tcW w:w="1954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9FF89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C-index (95% CI)</w:t>
            </w:r>
          </w:p>
        </w:tc>
        <w:tc>
          <w:tcPr>
            <w:tcW w:w="135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B55A4A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Sensitivity</w:t>
            </w:r>
          </w:p>
        </w:tc>
        <w:tc>
          <w:tcPr>
            <w:tcW w:w="13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F9B9E0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Specificity</w:t>
            </w:r>
          </w:p>
        </w:tc>
        <w:tc>
          <w:tcPr>
            <w:tcW w:w="12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00B0F5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Accuracy</w:t>
            </w:r>
          </w:p>
        </w:tc>
        <w:tc>
          <w:tcPr>
            <w:tcW w:w="90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3588CC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PPV</w:t>
            </w:r>
          </w:p>
        </w:tc>
        <w:tc>
          <w:tcPr>
            <w:tcW w:w="90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71D275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NPV</w:t>
            </w:r>
          </w:p>
        </w:tc>
        <w:tc>
          <w:tcPr>
            <w:tcW w:w="82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47A79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F1</w:t>
            </w:r>
          </w:p>
        </w:tc>
      </w:tr>
      <w:tr w14:paraId="0764BCA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839" w:type="dxa"/>
            <w:vAlign w:val="center"/>
          </w:tcPr>
          <w:p w14:paraId="02FCAE4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Training Cohort</w:t>
            </w:r>
          </w:p>
        </w:tc>
        <w:tc>
          <w:tcPr>
            <w:tcW w:w="1954" w:type="dxa"/>
            <w:vAlign w:val="center"/>
          </w:tcPr>
          <w:p w14:paraId="32B72F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0.878 (0.836-0.921)</w:t>
            </w:r>
          </w:p>
        </w:tc>
        <w:tc>
          <w:tcPr>
            <w:tcW w:w="1358" w:type="dxa"/>
            <w:vAlign w:val="center"/>
          </w:tcPr>
          <w:p w14:paraId="38AE49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0.944</w:t>
            </w:r>
          </w:p>
        </w:tc>
        <w:tc>
          <w:tcPr>
            <w:tcW w:w="1340" w:type="dxa"/>
            <w:vAlign w:val="center"/>
          </w:tcPr>
          <w:p w14:paraId="1141430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0.737</w:t>
            </w:r>
          </w:p>
        </w:tc>
        <w:tc>
          <w:tcPr>
            <w:tcW w:w="1240" w:type="dxa"/>
            <w:vAlign w:val="center"/>
          </w:tcPr>
          <w:p w14:paraId="0FB495D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0.817</w:t>
            </w:r>
          </w:p>
        </w:tc>
        <w:tc>
          <w:tcPr>
            <w:tcW w:w="908" w:type="dxa"/>
            <w:vAlign w:val="center"/>
          </w:tcPr>
          <w:p w14:paraId="1DE54B7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0.694</w:t>
            </w:r>
          </w:p>
        </w:tc>
        <w:tc>
          <w:tcPr>
            <w:tcW w:w="908" w:type="dxa"/>
            <w:vAlign w:val="center"/>
          </w:tcPr>
          <w:p w14:paraId="008C35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0.955</w:t>
            </w:r>
          </w:p>
        </w:tc>
        <w:tc>
          <w:tcPr>
            <w:tcW w:w="820" w:type="dxa"/>
            <w:vAlign w:val="center"/>
          </w:tcPr>
          <w:p w14:paraId="1DE5792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0.800</w:t>
            </w:r>
          </w:p>
        </w:tc>
      </w:tr>
      <w:tr w14:paraId="2E10DC7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839" w:type="dxa"/>
            <w:vAlign w:val="center"/>
          </w:tcPr>
          <w:p w14:paraId="3EA56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Internal Validation</w:t>
            </w:r>
          </w:p>
        </w:tc>
        <w:tc>
          <w:tcPr>
            <w:tcW w:w="1954" w:type="dxa"/>
            <w:vAlign w:val="center"/>
          </w:tcPr>
          <w:p w14:paraId="6ACA899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0.825 (0.736-0.914)</w:t>
            </w:r>
          </w:p>
        </w:tc>
        <w:tc>
          <w:tcPr>
            <w:tcW w:w="1358" w:type="dxa"/>
            <w:vAlign w:val="center"/>
          </w:tcPr>
          <w:p w14:paraId="770D92A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0.824</w:t>
            </w:r>
          </w:p>
        </w:tc>
        <w:tc>
          <w:tcPr>
            <w:tcW w:w="1340" w:type="dxa"/>
            <w:vAlign w:val="center"/>
          </w:tcPr>
          <w:p w14:paraId="5EBF725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0.400</w:t>
            </w:r>
          </w:p>
        </w:tc>
        <w:tc>
          <w:tcPr>
            <w:tcW w:w="1240" w:type="dxa"/>
            <w:vAlign w:val="center"/>
          </w:tcPr>
          <w:p w14:paraId="71919E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0.595</w:t>
            </w:r>
          </w:p>
        </w:tc>
        <w:tc>
          <w:tcPr>
            <w:tcW w:w="908" w:type="dxa"/>
            <w:vAlign w:val="center"/>
          </w:tcPr>
          <w:p w14:paraId="7A770E3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0.538</w:t>
            </w:r>
          </w:p>
        </w:tc>
        <w:tc>
          <w:tcPr>
            <w:tcW w:w="908" w:type="dxa"/>
            <w:vAlign w:val="center"/>
          </w:tcPr>
          <w:p w14:paraId="446844F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0.727</w:t>
            </w:r>
          </w:p>
        </w:tc>
        <w:tc>
          <w:tcPr>
            <w:tcW w:w="820" w:type="dxa"/>
            <w:vAlign w:val="center"/>
          </w:tcPr>
          <w:p w14:paraId="6F29B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0.651</w:t>
            </w:r>
          </w:p>
        </w:tc>
      </w:tr>
      <w:tr w14:paraId="0F7D1F7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839" w:type="dxa"/>
            <w:tcBorders>
              <w:bottom w:val="single" w:color="auto" w:sz="12" w:space="0"/>
            </w:tcBorders>
            <w:vAlign w:val="center"/>
          </w:tcPr>
          <w:p w14:paraId="57E5E4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External Validation</w:t>
            </w:r>
          </w:p>
        </w:tc>
        <w:tc>
          <w:tcPr>
            <w:tcW w:w="1954" w:type="dxa"/>
            <w:tcBorders>
              <w:bottom w:val="single" w:color="auto" w:sz="12" w:space="0"/>
            </w:tcBorders>
            <w:vAlign w:val="center"/>
          </w:tcPr>
          <w:p w14:paraId="297D8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0.759 (0.568-0.950)</w:t>
            </w:r>
          </w:p>
        </w:tc>
        <w:tc>
          <w:tcPr>
            <w:tcW w:w="1358" w:type="dxa"/>
            <w:tcBorders>
              <w:bottom w:val="single" w:color="auto" w:sz="12" w:space="0"/>
            </w:tcBorders>
            <w:vAlign w:val="center"/>
          </w:tcPr>
          <w:p w14:paraId="50C6FA5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0.571</w:t>
            </w:r>
          </w:p>
        </w:tc>
        <w:tc>
          <w:tcPr>
            <w:tcW w:w="1340" w:type="dxa"/>
            <w:tcBorders>
              <w:bottom w:val="single" w:color="auto" w:sz="12" w:space="0"/>
            </w:tcBorders>
            <w:vAlign w:val="center"/>
          </w:tcPr>
          <w:p w14:paraId="7C7F250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0.714</w:t>
            </w:r>
          </w:p>
        </w:tc>
        <w:tc>
          <w:tcPr>
            <w:tcW w:w="1240" w:type="dxa"/>
            <w:tcBorders>
              <w:bottom w:val="single" w:color="auto" w:sz="12" w:space="0"/>
            </w:tcBorders>
            <w:vAlign w:val="center"/>
          </w:tcPr>
          <w:p w14:paraId="34BBC78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0.667</w:t>
            </w:r>
          </w:p>
        </w:tc>
        <w:tc>
          <w:tcPr>
            <w:tcW w:w="908" w:type="dxa"/>
            <w:tcBorders>
              <w:bottom w:val="single" w:color="auto" w:sz="12" w:space="0"/>
            </w:tcBorders>
            <w:vAlign w:val="center"/>
          </w:tcPr>
          <w:p w14:paraId="22E214A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0.500</w:t>
            </w:r>
          </w:p>
        </w:tc>
        <w:tc>
          <w:tcPr>
            <w:tcW w:w="908" w:type="dxa"/>
            <w:tcBorders>
              <w:bottom w:val="single" w:color="auto" w:sz="12" w:space="0"/>
            </w:tcBorders>
            <w:vAlign w:val="center"/>
          </w:tcPr>
          <w:p w14:paraId="563F3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0.769</w:t>
            </w:r>
          </w:p>
        </w:tc>
        <w:tc>
          <w:tcPr>
            <w:tcW w:w="820" w:type="dxa"/>
            <w:tcBorders>
              <w:bottom w:val="single" w:color="auto" w:sz="12" w:space="0"/>
            </w:tcBorders>
            <w:vAlign w:val="center"/>
          </w:tcPr>
          <w:p w14:paraId="51D265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0.533</w:t>
            </w:r>
          </w:p>
        </w:tc>
      </w:tr>
      <w:tr w14:paraId="34DE6A3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367" w:type="dxa"/>
            <w:gridSpan w:val="8"/>
            <w:tcBorders>
              <w:top w:val="single" w:color="auto" w:sz="12" w:space="0"/>
              <w:bottom w:val="nil"/>
            </w:tcBorders>
            <w:vAlign w:val="center"/>
          </w:tcPr>
          <w:p w14:paraId="4E2BDD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Notes:</w:t>
            </w:r>
            <w:r>
              <w:rPr>
                <w:rFonts w:ascii="Times New Roman" w:hAnsi="Times New Roman" w:cs="Times New Roman"/>
                <w:sz w:val="24"/>
              </w:rPr>
              <w:t xml:space="preserve"> C-index, concordance index; CI, confidence interval; PPV, positive predictive value; NPV, negative predictive value. Classification metrics were calculated using the optimal cutoff value determined by the maximum Youden index in the training cohort.</w:t>
            </w:r>
          </w:p>
          <w:p w14:paraId="03E64B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7AFB649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W w:w="10017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90" w:type="dxa"/>
          <w:left w:w="120" w:type="dxa"/>
          <w:bottom w:w="90" w:type="dxa"/>
          <w:right w:w="120" w:type="dxa"/>
        </w:tblCellMar>
      </w:tblPr>
      <w:tblGrid>
        <w:gridCol w:w="1087"/>
        <w:gridCol w:w="2551"/>
        <w:gridCol w:w="3828"/>
        <w:gridCol w:w="2551"/>
      </w:tblGrid>
      <w:tr w14:paraId="57C568B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trHeight w:val="588" w:hRule="atLeast"/>
          <w:jc w:val="center"/>
        </w:trPr>
        <w:tc>
          <w:tcPr>
            <w:tcW w:w="10017" w:type="dxa"/>
            <w:gridSpan w:val="4"/>
            <w:tcBorders>
              <w:top w:val="nil"/>
              <w:bottom w:val="single" w:color="auto" w:sz="12" w:space="0"/>
            </w:tcBorders>
            <w:vAlign w:val="center"/>
          </w:tcPr>
          <w:p w14:paraId="068C848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Supplementary Table 3. Incremental prognostic value in the training cohort at 24 months</w:t>
            </w:r>
            <w:r>
              <w:rPr>
                <w:rFonts w:ascii="Times New Roman" w:hAnsi="Times New Roman" w:cs="Times New Roman"/>
                <w:bCs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 w14:paraId="73CF6B9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trHeight w:val="588" w:hRule="atLeast"/>
          <w:jc w:val="center"/>
        </w:trPr>
        <w:tc>
          <w:tcPr>
            <w:tcW w:w="108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B4F12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Metric</w:t>
            </w:r>
          </w:p>
        </w:tc>
        <w:tc>
          <w:tcPr>
            <w:tcW w:w="255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3806A7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Clinical-radiotherapy model</w:t>
            </w:r>
          </w:p>
        </w:tc>
        <w:tc>
          <w:tcPr>
            <w:tcW w:w="382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081AB5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Clinical-radiotherapy-CT attenuation model</w:t>
            </w:r>
          </w:p>
        </w:tc>
        <w:tc>
          <w:tcPr>
            <w:tcW w:w="255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9977E2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Radiomics-integrated model</w:t>
            </w:r>
          </w:p>
        </w:tc>
      </w:tr>
      <w:tr w14:paraId="7FE299C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87" w:type="dxa"/>
            <w:vAlign w:val="center"/>
          </w:tcPr>
          <w:p w14:paraId="775E8B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Chi-square</w:t>
            </w:r>
          </w:p>
        </w:tc>
        <w:tc>
          <w:tcPr>
            <w:tcW w:w="2551" w:type="dxa"/>
            <w:vAlign w:val="center"/>
          </w:tcPr>
          <w:p w14:paraId="0128969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32.92</w:t>
            </w:r>
          </w:p>
        </w:tc>
        <w:tc>
          <w:tcPr>
            <w:tcW w:w="3828" w:type="dxa"/>
            <w:vAlign w:val="center"/>
          </w:tcPr>
          <w:p w14:paraId="0D26220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65.92</w:t>
            </w:r>
          </w:p>
        </w:tc>
        <w:tc>
          <w:tcPr>
            <w:tcW w:w="2551" w:type="dxa"/>
            <w:vAlign w:val="center"/>
          </w:tcPr>
          <w:p w14:paraId="0AF54E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94.19</w:t>
            </w:r>
          </w:p>
        </w:tc>
      </w:tr>
      <w:tr w14:paraId="0590A5E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87" w:type="dxa"/>
            <w:vAlign w:val="center"/>
          </w:tcPr>
          <w:p w14:paraId="3332532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C-index</w:t>
            </w:r>
          </w:p>
        </w:tc>
        <w:tc>
          <w:tcPr>
            <w:tcW w:w="2551" w:type="dxa"/>
            <w:vAlign w:val="center"/>
          </w:tcPr>
          <w:p w14:paraId="2CACD7F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0.760</w:t>
            </w:r>
          </w:p>
        </w:tc>
        <w:tc>
          <w:tcPr>
            <w:tcW w:w="3828" w:type="dxa"/>
            <w:vAlign w:val="center"/>
          </w:tcPr>
          <w:p w14:paraId="7DE5B53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0.843</w:t>
            </w:r>
          </w:p>
        </w:tc>
        <w:tc>
          <w:tcPr>
            <w:tcW w:w="2551" w:type="dxa"/>
            <w:vAlign w:val="center"/>
          </w:tcPr>
          <w:p w14:paraId="70659E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0.878</w:t>
            </w:r>
          </w:p>
        </w:tc>
      </w:tr>
      <w:tr w14:paraId="077D77C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87" w:type="dxa"/>
            <w:vAlign w:val="center"/>
          </w:tcPr>
          <w:p w14:paraId="19386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 value</w:t>
            </w:r>
          </w:p>
        </w:tc>
        <w:tc>
          <w:tcPr>
            <w:tcW w:w="2551" w:type="dxa"/>
            <w:vAlign w:val="center"/>
          </w:tcPr>
          <w:p w14:paraId="22CBF4E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vAlign w:val="center"/>
          </w:tcPr>
          <w:p w14:paraId="0580116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0.009*</w:t>
            </w:r>
          </w:p>
        </w:tc>
        <w:tc>
          <w:tcPr>
            <w:tcW w:w="2551" w:type="dxa"/>
            <w:vAlign w:val="center"/>
          </w:tcPr>
          <w:p w14:paraId="1D274B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&lt;0.001*</w:t>
            </w:r>
          </w:p>
        </w:tc>
      </w:tr>
      <w:tr w14:paraId="0AECF62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87" w:type="dxa"/>
            <w:vAlign w:val="center"/>
          </w:tcPr>
          <w:p w14:paraId="73694F0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NRI</w:t>
            </w:r>
          </w:p>
        </w:tc>
        <w:tc>
          <w:tcPr>
            <w:tcW w:w="2551" w:type="dxa"/>
            <w:vAlign w:val="center"/>
          </w:tcPr>
          <w:p w14:paraId="2A0AC1A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reference</w:t>
            </w:r>
          </w:p>
        </w:tc>
        <w:tc>
          <w:tcPr>
            <w:tcW w:w="3828" w:type="dxa"/>
            <w:vAlign w:val="center"/>
          </w:tcPr>
          <w:p w14:paraId="79B3D6F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0.615 (0.082-1.091)</w:t>
            </w:r>
          </w:p>
        </w:tc>
        <w:tc>
          <w:tcPr>
            <w:tcW w:w="2551" w:type="dxa"/>
            <w:vAlign w:val="center"/>
          </w:tcPr>
          <w:p w14:paraId="034BB86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1.074 (0.499-1.451)</w:t>
            </w:r>
          </w:p>
        </w:tc>
      </w:tr>
      <w:tr w14:paraId="3936211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87" w:type="dxa"/>
            <w:vAlign w:val="center"/>
          </w:tcPr>
          <w:p w14:paraId="3FABB6E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 value</w:t>
            </w:r>
          </w:p>
        </w:tc>
        <w:tc>
          <w:tcPr>
            <w:tcW w:w="2551" w:type="dxa"/>
            <w:vAlign w:val="center"/>
          </w:tcPr>
          <w:p w14:paraId="39953F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vAlign w:val="center"/>
          </w:tcPr>
          <w:p w14:paraId="2DA4E4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0.024*</w:t>
            </w:r>
          </w:p>
        </w:tc>
        <w:tc>
          <w:tcPr>
            <w:tcW w:w="2551" w:type="dxa"/>
            <w:vAlign w:val="center"/>
          </w:tcPr>
          <w:p w14:paraId="29E7B5C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&lt;0.001*</w:t>
            </w:r>
          </w:p>
        </w:tc>
      </w:tr>
      <w:tr w14:paraId="1CDC048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87" w:type="dxa"/>
            <w:vAlign w:val="center"/>
          </w:tcPr>
          <w:p w14:paraId="6CA10C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IDI</w:t>
            </w:r>
          </w:p>
        </w:tc>
        <w:tc>
          <w:tcPr>
            <w:tcW w:w="2551" w:type="dxa"/>
            <w:vAlign w:val="center"/>
          </w:tcPr>
          <w:p w14:paraId="7964E3F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reference</w:t>
            </w:r>
          </w:p>
        </w:tc>
        <w:tc>
          <w:tcPr>
            <w:tcW w:w="3828" w:type="dxa"/>
            <w:vAlign w:val="center"/>
          </w:tcPr>
          <w:p w14:paraId="2E89746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0.114 (0.005-0.208)</w:t>
            </w:r>
          </w:p>
        </w:tc>
        <w:tc>
          <w:tcPr>
            <w:tcW w:w="2551" w:type="dxa"/>
            <w:vAlign w:val="center"/>
          </w:tcPr>
          <w:p w14:paraId="6A42B9B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0.221 (0.086-0.338)</w:t>
            </w:r>
          </w:p>
        </w:tc>
      </w:tr>
      <w:tr w14:paraId="3A41E1C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87" w:type="dxa"/>
            <w:tcBorders>
              <w:bottom w:val="single" w:color="auto" w:sz="12" w:space="0"/>
            </w:tcBorders>
            <w:vAlign w:val="center"/>
          </w:tcPr>
          <w:p w14:paraId="3FA5FD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 value</w:t>
            </w:r>
          </w:p>
        </w:tc>
        <w:tc>
          <w:tcPr>
            <w:tcW w:w="2551" w:type="dxa"/>
            <w:tcBorders>
              <w:bottom w:val="single" w:color="auto" w:sz="12" w:space="0"/>
            </w:tcBorders>
            <w:vAlign w:val="center"/>
          </w:tcPr>
          <w:p w14:paraId="5E01480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bottom w:val="single" w:color="auto" w:sz="12" w:space="0"/>
            </w:tcBorders>
            <w:vAlign w:val="center"/>
          </w:tcPr>
          <w:p w14:paraId="7236577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0.040*</w:t>
            </w:r>
          </w:p>
        </w:tc>
        <w:tc>
          <w:tcPr>
            <w:tcW w:w="2551" w:type="dxa"/>
            <w:tcBorders>
              <w:bottom w:val="single" w:color="auto" w:sz="12" w:space="0"/>
            </w:tcBorders>
            <w:vAlign w:val="center"/>
          </w:tcPr>
          <w:p w14:paraId="29C65F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&lt;0.001*</w:t>
            </w:r>
          </w:p>
        </w:tc>
      </w:tr>
      <w:tr w14:paraId="58AABB3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017" w:type="dxa"/>
            <w:gridSpan w:val="4"/>
            <w:tcBorders>
              <w:top w:val="single" w:color="auto" w:sz="12" w:space="0"/>
              <w:bottom w:val="nil"/>
            </w:tcBorders>
            <w:vAlign w:val="center"/>
          </w:tcPr>
          <w:p w14:paraId="0C7ECDCF">
            <w:pPr>
              <w:widowControl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Notes: </w:t>
            </w:r>
            <w:r>
              <w:rPr>
                <w:rFonts w:ascii="Times New Roman" w:hAnsi="Times New Roman" w:cs="Times New Roman"/>
                <w:sz w:val="24"/>
              </w:rPr>
              <w:t>C-index, concordance index; NRI, net reclassification improvement; IDI, integrated discrimination improvement; χ², likelihood ratio chi-square statistic. The clinical-radiotherapy model was used as the reference model for calculating changes in C-index, NRI, and IDI. Values for NRI and IDI are presented as estimates with 95% confidence intervals. P values represent comparisons with the clinical-radiotherapy model.</w:t>
            </w:r>
          </w:p>
          <w:p w14:paraId="77AA3B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984119D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W w:w="10207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90" w:type="dxa"/>
          <w:left w:w="120" w:type="dxa"/>
          <w:bottom w:w="90" w:type="dxa"/>
          <w:right w:w="120" w:type="dxa"/>
        </w:tblCellMar>
      </w:tblPr>
      <w:tblGrid>
        <w:gridCol w:w="1083"/>
        <w:gridCol w:w="2693"/>
        <w:gridCol w:w="3879"/>
        <w:gridCol w:w="2552"/>
      </w:tblGrid>
      <w:tr w14:paraId="538D786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207" w:type="dxa"/>
            <w:gridSpan w:val="4"/>
            <w:tcBorders>
              <w:top w:val="nil"/>
              <w:bottom w:val="single" w:color="auto" w:sz="12" w:space="0"/>
            </w:tcBorders>
            <w:vAlign w:val="center"/>
          </w:tcPr>
          <w:p w14:paraId="5075D587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Supplementary Table 4. Incremental prognostic value in the internal validation cohort at 24 months</w:t>
            </w:r>
            <w:r>
              <w:rPr>
                <w:rFonts w:ascii="Times New Roman" w:hAnsi="Times New Roman" w:cs="Times New Roman"/>
                <w:bCs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 w14:paraId="275B5BF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8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551EC60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Metric</w:t>
            </w:r>
          </w:p>
        </w:tc>
        <w:tc>
          <w:tcPr>
            <w:tcW w:w="269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2E6059A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Clinical-radiotherapy model</w:t>
            </w:r>
          </w:p>
        </w:tc>
        <w:tc>
          <w:tcPr>
            <w:tcW w:w="387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D71BFFC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Clinical-radiotherapy-CT attenuation model</w:t>
            </w:r>
          </w:p>
        </w:tc>
        <w:tc>
          <w:tcPr>
            <w:tcW w:w="255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FDEF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Radiomics-integrated model</w:t>
            </w:r>
          </w:p>
        </w:tc>
      </w:tr>
      <w:tr w14:paraId="7B4360E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83" w:type="dxa"/>
            <w:vAlign w:val="center"/>
          </w:tcPr>
          <w:p w14:paraId="76E300D8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Chi-square</w:t>
            </w:r>
          </w:p>
        </w:tc>
        <w:tc>
          <w:tcPr>
            <w:tcW w:w="2693" w:type="dxa"/>
            <w:vAlign w:val="center"/>
          </w:tcPr>
          <w:p w14:paraId="7DA4459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5.43</w:t>
            </w:r>
          </w:p>
        </w:tc>
        <w:tc>
          <w:tcPr>
            <w:tcW w:w="3879" w:type="dxa"/>
            <w:vAlign w:val="center"/>
          </w:tcPr>
          <w:p w14:paraId="220DC97C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12.32</w:t>
            </w:r>
          </w:p>
        </w:tc>
        <w:tc>
          <w:tcPr>
            <w:tcW w:w="2552" w:type="dxa"/>
            <w:vAlign w:val="center"/>
          </w:tcPr>
          <w:p w14:paraId="05F74CA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25.56</w:t>
            </w:r>
          </w:p>
        </w:tc>
      </w:tr>
      <w:tr w14:paraId="7CE7C8A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83" w:type="dxa"/>
            <w:vAlign w:val="center"/>
          </w:tcPr>
          <w:p w14:paraId="62E96265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C-index</w:t>
            </w:r>
          </w:p>
        </w:tc>
        <w:tc>
          <w:tcPr>
            <w:tcW w:w="2693" w:type="dxa"/>
            <w:vAlign w:val="center"/>
          </w:tcPr>
          <w:p w14:paraId="2E70ACDC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0.669</w:t>
            </w:r>
          </w:p>
        </w:tc>
        <w:tc>
          <w:tcPr>
            <w:tcW w:w="3879" w:type="dxa"/>
            <w:vAlign w:val="center"/>
          </w:tcPr>
          <w:p w14:paraId="33A44A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0.767</w:t>
            </w:r>
          </w:p>
        </w:tc>
        <w:tc>
          <w:tcPr>
            <w:tcW w:w="2552" w:type="dxa"/>
            <w:vAlign w:val="center"/>
          </w:tcPr>
          <w:p w14:paraId="40CC6913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0.825</w:t>
            </w:r>
          </w:p>
        </w:tc>
      </w:tr>
      <w:tr w14:paraId="4E93FFE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83" w:type="dxa"/>
            <w:vAlign w:val="center"/>
          </w:tcPr>
          <w:p w14:paraId="630A9FB0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P value</w:t>
            </w:r>
          </w:p>
        </w:tc>
        <w:tc>
          <w:tcPr>
            <w:tcW w:w="2693" w:type="dxa"/>
            <w:vAlign w:val="center"/>
          </w:tcPr>
          <w:p w14:paraId="299D131B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3879" w:type="dxa"/>
            <w:vAlign w:val="center"/>
          </w:tcPr>
          <w:p w14:paraId="09F2C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0.056</w:t>
            </w:r>
          </w:p>
        </w:tc>
        <w:tc>
          <w:tcPr>
            <w:tcW w:w="2552" w:type="dxa"/>
            <w:vAlign w:val="center"/>
          </w:tcPr>
          <w:p w14:paraId="422633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0.014*</w:t>
            </w:r>
          </w:p>
        </w:tc>
      </w:tr>
      <w:tr w14:paraId="6560257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83" w:type="dxa"/>
            <w:vAlign w:val="center"/>
          </w:tcPr>
          <w:p w14:paraId="1ECD7220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NRI</w:t>
            </w:r>
          </w:p>
        </w:tc>
        <w:tc>
          <w:tcPr>
            <w:tcW w:w="2693" w:type="dxa"/>
            <w:vAlign w:val="center"/>
          </w:tcPr>
          <w:p w14:paraId="4A9FFF5B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reference</w:t>
            </w:r>
          </w:p>
        </w:tc>
        <w:tc>
          <w:tcPr>
            <w:tcW w:w="3879" w:type="dxa"/>
            <w:vAlign w:val="center"/>
          </w:tcPr>
          <w:p w14:paraId="771415B4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0.068 (-0.893-0.589)</w:t>
            </w:r>
          </w:p>
        </w:tc>
        <w:tc>
          <w:tcPr>
            <w:tcW w:w="2552" w:type="dxa"/>
            <w:vAlign w:val="center"/>
          </w:tcPr>
          <w:p w14:paraId="58919DD0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0.698 (-0.478-1.231)</w:t>
            </w:r>
          </w:p>
        </w:tc>
      </w:tr>
      <w:tr w14:paraId="4DE76D8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83" w:type="dxa"/>
            <w:vAlign w:val="center"/>
          </w:tcPr>
          <w:p w14:paraId="348AAF42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P value</w:t>
            </w:r>
          </w:p>
        </w:tc>
        <w:tc>
          <w:tcPr>
            <w:tcW w:w="2693" w:type="dxa"/>
            <w:vAlign w:val="center"/>
          </w:tcPr>
          <w:p w14:paraId="47724D12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3879" w:type="dxa"/>
            <w:vAlign w:val="center"/>
          </w:tcPr>
          <w:p w14:paraId="07037A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1.000</w:t>
            </w:r>
          </w:p>
        </w:tc>
        <w:tc>
          <w:tcPr>
            <w:tcW w:w="2552" w:type="dxa"/>
            <w:vAlign w:val="center"/>
          </w:tcPr>
          <w:p w14:paraId="2B6E9F7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0.232</w:t>
            </w:r>
          </w:p>
        </w:tc>
      </w:tr>
      <w:tr w14:paraId="76A40DF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83" w:type="dxa"/>
            <w:vAlign w:val="center"/>
          </w:tcPr>
          <w:p w14:paraId="42624FE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IDI</w:t>
            </w:r>
          </w:p>
        </w:tc>
        <w:tc>
          <w:tcPr>
            <w:tcW w:w="2693" w:type="dxa"/>
            <w:vAlign w:val="center"/>
          </w:tcPr>
          <w:p w14:paraId="509F312C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reference</w:t>
            </w:r>
          </w:p>
        </w:tc>
        <w:tc>
          <w:tcPr>
            <w:tcW w:w="3879" w:type="dxa"/>
            <w:vAlign w:val="center"/>
          </w:tcPr>
          <w:p w14:paraId="062E34F0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-0.022 (-0.141-0.107)</w:t>
            </w:r>
          </w:p>
        </w:tc>
        <w:tc>
          <w:tcPr>
            <w:tcW w:w="2552" w:type="dxa"/>
            <w:vAlign w:val="center"/>
          </w:tcPr>
          <w:p w14:paraId="35B18765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0.145 (-0.037-0.311)</w:t>
            </w:r>
          </w:p>
        </w:tc>
      </w:tr>
      <w:tr w14:paraId="218947F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83" w:type="dxa"/>
            <w:tcBorders>
              <w:bottom w:val="single" w:color="auto" w:sz="12" w:space="0"/>
            </w:tcBorders>
            <w:vAlign w:val="center"/>
          </w:tcPr>
          <w:p w14:paraId="0EB8F2F6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P value</w:t>
            </w:r>
          </w:p>
        </w:tc>
        <w:tc>
          <w:tcPr>
            <w:tcW w:w="2693" w:type="dxa"/>
            <w:tcBorders>
              <w:bottom w:val="single" w:color="auto" w:sz="12" w:space="0"/>
            </w:tcBorders>
            <w:vAlign w:val="center"/>
          </w:tcPr>
          <w:p w14:paraId="684D7140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3879" w:type="dxa"/>
            <w:tcBorders>
              <w:bottom w:val="single" w:color="auto" w:sz="12" w:space="0"/>
            </w:tcBorders>
            <w:vAlign w:val="center"/>
          </w:tcPr>
          <w:p w14:paraId="7DFE92B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0.571</w:t>
            </w:r>
          </w:p>
        </w:tc>
        <w:tc>
          <w:tcPr>
            <w:tcW w:w="2552" w:type="dxa"/>
            <w:tcBorders>
              <w:bottom w:val="single" w:color="auto" w:sz="12" w:space="0"/>
            </w:tcBorders>
            <w:vAlign w:val="center"/>
          </w:tcPr>
          <w:p w14:paraId="2A4E8677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0.132</w:t>
            </w:r>
          </w:p>
        </w:tc>
      </w:tr>
      <w:tr w14:paraId="3A57C3C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207" w:type="dxa"/>
            <w:gridSpan w:val="4"/>
            <w:tcBorders>
              <w:top w:val="single" w:color="auto" w:sz="12" w:space="0"/>
              <w:bottom w:val="nil"/>
            </w:tcBorders>
            <w:vAlign w:val="center"/>
          </w:tcPr>
          <w:p w14:paraId="2A99B1AF">
            <w:pPr>
              <w:widowControl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Notes: </w:t>
            </w:r>
            <w:r>
              <w:rPr>
                <w:rFonts w:ascii="Times New Roman" w:hAnsi="Times New Roman" w:cs="Times New Roman"/>
                <w:sz w:val="24"/>
              </w:rPr>
              <w:t>C-index, concordance index; NRI, net reclassification improvement; IDI, integrated discrimination improvement; χ², likelihood ratio chi-square statistic. The clinical-radiotherapy model was used as the reference model for calculating changes in C-index, NRI, and IDI. Values for NRI and IDI are presented as estimates with 95% confidence intervals. P values represent comparisons with the clinical-radiotherapy model.</w:t>
            </w:r>
          </w:p>
          <w:p w14:paraId="654244D6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3E3B6E9D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W w:w="10369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90" w:type="dxa"/>
          <w:left w:w="120" w:type="dxa"/>
          <w:bottom w:w="90" w:type="dxa"/>
          <w:right w:w="120" w:type="dxa"/>
        </w:tblCellMar>
      </w:tblPr>
      <w:tblGrid>
        <w:gridCol w:w="1439"/>
        <w:gridCol w:w="2693"/>
        <w:gridCol w:w="3827"/>
        <w:gridCol w:w="2410"/>
      </w:tblGrid>
      <w:tr w14:paraId="39A8E19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369" w:type="dxa"/>
            <w:gridSpan w:val="4"/>
            <w:tcBorders>
              <w:top w:val="nil"/>
              <w:bottom w:val="single" w:color="auto" w:sz="12" w:space="0"/>
            </w:tcBorders>
            <w:vAlign w:val="center"/>
          </w:tcPr>
          <w:p w14:paraId="2B5A137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Supplementary Table 5. Incremental prognostic value in the external validation cohort at 24 months</w:t>
            </w:r>
            <w:r>
              <w:rPr>
                <w:rFonts w:ascii="Times New Roman" w:hAnsi="Times New Roman" w:cs="Times New Roman"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 w14:paraId="1184620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43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EE259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Metric</w:t>
            </w:r>
          </w:p>
        </w:tc>
        <w:tc>
          <w:tcPr>
            <w:tcW w:w="269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C9A386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Clinical-radiotherapy model</w:t>
            </w:r>
          </w:p>
        </w:tc>
        <w:tc>
          <w:tcPr>
            <w:tcW w:w="382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372817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Clinical-radiotherapy-CT attenuation model</w:t>
            </w:r>
          </w:p>
        </w:tc>
        <w:tc>
          <w:tcPr>
            <w:tcW w:w="241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ADE69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Radiomics-integrated model</w:t>
            </w:r>
          </w:p>
        </w:tc>
      </w:tr>
      <w:tr w14:paraId="569F617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439" w:type="dxa"/>
            <w:vAlign w:val="center"/>
          </w:tcPr>
          <w:p w14:paraId="1EB065A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Chi-square</w:t>
            </w:r>
          </w:p>
        </w:tc>
        <w:tc>
          <w:tcPr>
            <w:tcW w:w="2693" w:type="dxa"/>
            <w:vAlign w:val="center"/>
          </w:tcPr>
          <w:p w14:paraId="70398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1.98</w:t>
            </w:r>
          </w:p>
        </w:tc>
        <w:tc>
          <w:tcPr>
            <w:tcW w:w="3827" w:type="dxa"/>
            <w:vAlign w:val="center"/>
          </w:tcPr>
          <w:p w14:paraId="6A520E5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3.61</w:t>
            </w:r>
          </w:p>
        </w:tc>
        <w:tc>
          <w:tcPr>
            <w:tcW w:w="2410" w:type="dxa"/>
            <w:vAlign w:val="center"/>
          </w:tcPr>
          <w:p w14:paraId="68FD407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10.03</w:t>
            </w:r>
          </w:p>
        </w:tc>
      </w:tr>
      <w:tr w14:paraId="304596C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439" w:type="dxa"/>
            <w:vAlign w:val="center"/>
          </w:tcPr>
          <w:p w14:paraId="3B6BB1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C-index</w:t>
            </w:r>
          </w:p>
        </w:tc>
        <w:tc>
          <w:tcPr>
            <w:tcW w:w="2693" w:type="dxa"/>
            <w:vAlign w:val="center"/>
          </w:tcPr>
          <w:p w14:paraId="2D8E2B0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0.646</w:t>
            </w:r>
          </w:p>
        </w:tc>
        <w:tc>
          <w:tcPr>
            <w:tcW w:w="3827" w:type="dxa"/>
            <w:vAlign w:val="center"/>
          </w:tcPr>
          <w:p w14:paraId="42165C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0.682</w:t>
            </w:r>
          </w:p>
        </w:tc>
        <w:tc>
          <w:tcPr>
            <w:tcW w:w="2410" w:type="dxa"/>
            <w:vAlign w:val="center"/>
          </w:tcPr>
          <w:p w14:paraId="6EEA5ED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0.759</w:t>
            </w:r>
          </w:p>
        </w:tc>
      </w:tr>
      <w:tr w14:paraId="6B5A2EF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439" w:type="dxa"/>
            <w:vAlign w:val="center"/>
          </w:tcPr>
          <w:p w14:paraId="78B72CE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 value</w:t>
            </w:r>
          </w:p>
        </w:tc>
        <w:tc>
          <w:tcPr>
            <w:tcW w:w="2693" w:type="dxa"/>
            <w:vAlign w:val="center"/>
          </w:tcPr>
          <w:p w14:paraId="2643AD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7" w:type="dxa"/>
            <w:vAlign w:val="center"/>
          </w:tcPr>
          <w:p w14:paraId="0D5D6DE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0.602</w:t>
            </w:r>
          </w:p>
        </w:tc>
        <w:tc>
          <w:tcPr>
            <w:tcW w:w="2410" w:type="dxa"/>
            <w:vAlign w:val="center"/>
          </w:tcPr>
          <w:p w14:paraId="544EBA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0.209</w:t>
            </w:r>
          </w:p>
        </w:tc>
      </w:tr>
      <w:tr w14:paraId="00E2533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439" w:type="dxa"/>
            <w:vAlign w:val="center"/>
          </w:tcPr>
          <w:p w14:paraId="7DC8A5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NRI</w:t>
            </w:r>
          </w:p>
        </w:tc>
        <w:tc>
          <w:tcPr>
            <w:tcW w:w="2693" w:type="dxa"/>
            <w:vAlign w:val="center"/>
          </w:tcPr>
          <w:p w14:paraId="157B5B1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reference</w:t>
            </w:r>
          </w:p>
        </w:tc>
        <w:tc>
          <w:tcPr>
            <w:tcW w:w="3827" w:type="dxa"/>
            <w:vAlign w:val="center"/>
          </w:tcPr>
          <w:p w14:paraId="38613C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-0.257 (-1.304-1.355)</w:t>
            </w:r>
          </w:p>
        </w:tc>
        <w:tc>
          <w:tcPr>
            <w:tcW w:w="2410" w:type="dxa"/>
            <w:vAlign w:val="center"/>
          </w:tcPr>
          <w:p w14:paraId="05614D6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1.275 (-0.745-1.753)</w:t>
            </w:r>
          </w:p>
        </w:tc>
      </w:tr>
      <w:tr w14:paraId="4D540A1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439" w:type="dxa"/>
            <w:vAlign w:val="center"/>
          </w:tcPr>
          <w:p w14:paraId="05A00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 value</w:t>
            </w:r>
          </w:p>
        </w:tc>
        <w:tc>
          <w:tcPr>
            <w:tcW w:w="2693" w:type="dxa"/>
            <w:vAlign w:val="center"/>
          </w:tcPr>
          <w:p w14:paraId="6800CD7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7" w:type="dxa"/>
            <w:vAlign w:val="center"/>
          </w:tcPr>
          <w:p w14:paraId="01D7BB9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0.990</w:t>
            </w:r>
          </w:p>
        </w:tc>
        <w:tc>
          <w:tcPr>
            <w:tcW w:w="2410" w:type="dxa"/>
            <w:vAlign w:val="center"/>
          </w:tcPr>
          <w:p w14:paraId="4C434F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0.212</w:t>
            </w:r>
          </w:p>
        </w:tc>
      </w:tr>
      <w:tr w14:paraId="3BA4FB9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439" w:type="dxa"/>
            <w:vAlign w:val="center"/>
          </w:tcPr>
          <w:p w14:paraId="2C151E2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IDI</w:t>
            </w:r>
          </w:p>
        </w:tc>
        <w:tc>
          <w:tcPr>
            <w:tcW w:w="2693" w:type="dxa"/>
            <w:vAlign w:val="center"/>
          </w:tcPr>
          <w:p w14:paraId="41339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reference</w:t>
            </w:r>
          </w:p>
        </w:tc>
        <w:tc>
          <w:tcPr>
            <w:tcW w:w="3827" w:type="dxa"/>
            <w:vAlign w:val="center"/>
          </w:tcPr>
          <w:p w14:paraId="73879A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0.019 (-0.118-0.137)</w:t>
            </w:r>
          </w:p>
        </w:tc>
        <w:tc>
          <w:tcPr>
            <w:tcW w:w="2410" w:type="dxa"/>
            <w:vAlign w:val="center"/>
          </w:tcPr>
          <w:p w14:paraId="3440F9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0.167 (-0.030-0.340)</w:t>
            </w:r>
          </w:p>
        </w:tc>
      </w:tr>
      <w:tr w14:paraId="1B9F0AB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439" w:type="dxa"/>
            <w:tcBorders>
              <w:bottom w:val="single" w:color="auto" w:sz="12" w:space="0"/>
            </w:tcBorders>
            <w:vAlign w:val="center"/>
          </w:tcPr>
          <w:p w14:paraId="4355609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 value</w:t>
            </w:r>
          </w:p>
        </w:tc>
        <w:tc>
          <w:tcPr>
            <w:tcW w:w="2693" w:type="dxa"/>
            <w:tcBorders>
              <w:bottom w:val="single" w:color="auto" w:sz="12" w:space="0"/>
            </w:tcBorders>
            <w:vAlign w:val="center"/>
          </w:tcPr>
          <w:p w14:paraId="3D6787A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7" w:type="dxa"/>
            <w:tcBorders>
              <w:bottom w:val="single" w:color="auto" w:sz="12" w:space="0"/>
            </w:tcBorders>
            <w:vAlign w:val="center"/>
          </w:tcPr>
          <w:p w14:paraId="47CBE2B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0.846</w:t>
            </w:r>
          </w:p>
        </w:tc>
        <w:tc>
          <w:tcPr>
            <w:tcW w:w="2410" w:type="dxa"/>
            <w:tcBorders>
              <w:bottom w:val="single" w:color="auto" w:sz="12" w:space="0"/>
            </w:tcBorders>
            <w:vAlign w:val="center"/>
          </w:tcPr>
          <w:p w14:paraId="73C65B0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0.084</w:t>
            </w:r>
          </w:p>
        </w:tc>
      </w:tr>
      <w:tr w14:paraId="13B7E04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369" w:type="dxa"/>
            <w:gridSpan w:val="4"/>
            <w:tcBorders>
              <w:top w:val="single" w:color="auto" w:sz="12" w:space="0"/>
              <w:bottom w:val="nil"/>
            </w:tcBorders>
            <w:vAlign w:val="center"/>
          </w:tcPr>
          <w:p w14:paraId="3F6BBD6A">
            <w:pPr>
              <w:widowControl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Notes: </w:t>
            </w:r>
            <w:r>
              <w:rPr>
                <w:rFonts w:ascii="Times New Roman" w:hAnsi="Times New Roman" w:cs="Times New Roman"/>
                <w:sz w:val="24"/>
              </w:rPr>
              <w:t>C-index, concordance index; NRI, net reclassification improvement; IDI, integrated discrimination improvement; χ², likelihood ratio chi-square statistic. The clinical-radiotherapy model was used as the reference model for calculating changes in C-index, NRI, and IDI. Values for NRI and IDI are presented as estimates with 95% confidence intervals. P values represent comparisons with the clinical-radiotherapy model.</w:t>
            </w:r>
          </w:p>
          <w:p w14:paraId="234E73A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693EBD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70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三线表1"/>
    <w:basedOn w:val="2"/>
    <w:qFormat/>
    <w:uiPriority w:val="99"/>
    <w:tblPr>
      <w:tblBorders>
        <w:top w:val="single" w:color="auto" w:sz="12" w:space="0"/>
        <w:bottom w:val="single" w:color="auto" w:sz="12" w:space="0"/>
      </w:tblBorders>
    </w:tblPr>
    <w:tblStylePr w:type="firstRow">
      <w:tcPr>
        <w:tcBorders>
          <w:bottom w:val="single" w:color="auto" w:sz="4" w:space="0"/>
        </w:tcBorders>
      </w:tcPr>
    </w:tblStylePr>
  </w:style>
  <w:style w:type="table" w:customStyle="1" w:styleId="5">
    <w:name w:val="三线表2"/>
    <w:basedOn w:val="2"/>
    <w:qFormat/>
    <w:uiPriority w:val="0"/>
    <w:rPr>
      <w:rFonts w:ascii="等线" w:hAnsi="等线" w:eastAsia="等线"/>
    </w:rPr>
    <w:tblPr>
      <w:tblBorders>
        <w:top w:val="single" w:color="auto" w:sz="12" w:space="0"/>
        <w:bottom w:val="single" w:color="auto" w:sz="12" w:space="0"/>
      </w:tblBorders>
    </w:tblPr>
    <w:tblStylePr w:type="firstRow">
      <w:tcPr>
        <w:tcBorders>
          <w:bottom w:val="single" w:color="auto" w:sz="4" w:space="0"/>
        </w:tcBorders>
      </w:tcPr>
    </w:tblStyle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2026-07-27T03:39:25Z</dcterms:created>
  <dc:creator>caroline7</dc:creator>
  <cp:lastModifiedBy>宁静致远</cp:lastModifiedBy>
  <dcterms:modified xsi:type="dcterms:W3CDTF">2026-07-27T03:41:14Z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eyJoZGlkIjoiOGI4NjI5OTBmMDM1ODFlMDkzNDFlZTFiMWNhZWU5ZTMiLCJ1c2VySWQiOiIxMjY3OTkxMTc0In0=</vt:lpwstr>
  </property>
  <property fmtid="{D5CDD505-2E9C-101B-9397-08002B2CF9AE}" pid="4" name="ICV">
    <vt:lpwstr>568C1727A92B416F955BBF8951980609_12</vt:lpwstr>
  </property>
</Properties>
</file>